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bookmarkStart w:id="8" w:name="_GoBack"/>
      <w:bookmarkEnd w:id="8"/>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adjustRightInd w:val="0"/>
        <w:snapToGrid w:val="0"/>
        <w:spacing w:line="560" w:lineRule="exact"/>
        <w:ind w:firstLine="624" w:firstLineChars="200"/>
        <w:outlineLvl w:val="0"/>
        <w:rPr>
          <w:rStyle w:val="18"/>
          <w:rFonts w:hint="eastAsia" w:ascii="黑体" w:hAnsi="黑体" w:eastAsia="黑体"/>
          <w:b w:val="0"/>
          <w:spacing w:val="-4"/>
          <w:sz w:val="32"/>
          <w:szCs w:val="32"/>
        </w:rPr>
      </w:pP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一、部门基本支出概况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00" w:firstLineChars="200"/>
        <w:rPr>
          <w:rStyle w:val="18"/>
          <w:rFonts w:ascii="仿宋" w:hAnsi="仿宋" w:eastAsia="仿宋"/>
          <w:b w:val="0"/>
          <w:color w:val="FF0000"/>
          <w:spacing w:val="-4"/>
          <w:sz w:val="32"/>
          <w:szCs w:val="32"/>
        </w:rPr>
      </w:pPr>
      <w:r>
        <w:rPr>
          <w:rFonts w:hint="eastAsia" w:ascii="仿宋_GB2312" w:eastAsia="仿宋_GB2312"/>
          <w:sz w:val="30"/>
          <w:szCs w:val="30"/>
        </w:rPr>
        <w:t>英吉沙县国土资源局，为英吉沙县政府工作部门。主要贯彻执行国家、自治区有关国土资源土地、矿产、测绘的方针政策、法律法规，拟定英吉沙县有关土地、矿产、测绘管理的政策、制度和规范性文件，并组织实施和监督检查；研究制定全县管理、保护与合理利用土地资源、矿产资源的政策。现有人员编制22名，现有干部22人（其中领导2名），为英吉沙县财政全额拨付经费单位</w:t>
      </w:r>
      <w:r>
        <w:rPr>
          <w:rStyle w:val="18"/>
          <w:rFonts w:hint="eastAsia" w:ascii="仿宋" w:hAnsi="仿宋" w:eastAsia="仿宋"/>
          <w:b w:val="0"/>
          <w:spacing w:val="-4"/>
          <w:sz w:val="32"/>
          <w:szCs w:val="32"/>
        </w:rPr>
        <w:t>。</w:t>
      </w:r>
    </w:p>
    <w:p>
      <w:pPr>
        <w:adjustRightInd w:val="0"/>
        <w:snapToGrid w:val="0"/>
        <w:spacing w:line="560" w:lineRule="exact"/>
        <w:ind w:firstLine="627" w:firstLineChars="200"/>
        <w:rPr>
          <w:rStyle w:val="18"/>
          <w:rFonts w:ascii="黑体" w:hAnsi="黑体" w:eastAsia="黑体"/>
          <w:b w:val="0"/>
          <w:spacing w:val="-4"/>
          <w:sz w:val="32"/>
          <w:szCs w:val="32"/>
        </w:rPr>
      </w:pPr>
      <w:r>
        <w:rPr>
          <w:rStyle w:val="18"/>
          <w:rFonts w:hint="eastAsia" w:ascii="楷体" w:hAnsi="楷体" w:eastAsia="楷体"/>
          <w:spacing w:val="-4"/>
          <w:sz w:val="32"/>
          <w:szCs w:val="32"/>
        </w:rPr>
        <w:t>（二）部门基本支出预算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Style w:val="18"/>
          <w:rFonts w:hint="eastAsia" w:ascii="仿宋" w:hAnsi="仿宋" w:eastAsia="仿宋"/>
          <w:spacing w:val="-4"/>
          <w:sz w:val="32"/>
          <w:szCs w:val="32"/>
        </w:rPr>
        <w:t>部门基本支出预期目标及阶段性目标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1" w:name="_Toc405279309"/>
      <w:r>
        <w:rPr>
          <w:rFonts w:hint="eastAsia" w:ascii="仿宋" w:hAnsi="仿宋" w:eastAsia="仿宋"/>
          <w:bCs/>
          <w:spacing w:val="-4"/>
          <w:sz w:val="32"/>
          <w:szCs w:val="32"/>
        </w:rPr>
        <w:t>拼接屏经费是经县财经工作领导小组同意财政拨付的我局根据</w:t>
      </w:r>
      <w:r>
        <w:rPr>
          <w:rFonts w:hint="eastAsia" w:ascii="仿宋" w:hAnsi="仿宋" w:eastAsia="仿宋"/>
          <w:bCs/>
          <w:spacing w:val="-4"/>
          <w:sz w:val="32"/>
          <w:szCs w:val="32"/>
          <w:lang w:eastAsia="zh-CN"/>
        </w:rPr>
        <w:t>维护</w:t>
      </w:r>
      <w:r>
        <w:rPr>
          <w:rFonts w:hint="eastAsia" w:ascii="仿宋" w:hAnsi="仿宋" w:eastAsia="仿宋"/>
          <w:bCs/>
          <w:spacing w:val="-4"/>
          <w:sz w:val="32"/>
          <w:szCs w:val="32"/>
        </w:rPr>
        <w:t>需要安装的监控拼接屏费用</w:t>
      </w:r>
      <w:r>
        <w:rPr>
          <w:rFonts w:ascii="仿宋" w:hAnsi="仿宋" w:eastAsia="仿宋"/>
          <w:bCs/>
          <w:spacing w:val="-4"/>
          <w:sz w:val="32"/>
          <w:szCs w:val="32"/>
        </w:rPr>
        <w:t>。</w:t>
      </w:r>
      <w:bookmarkEnd w:id="1"/>
      <w:r>
        <w:rPr>
          <w:rFonts w:hint="eastAsia" w:ascii="仿宋" w:hAnsi="仿宋" w:eastAsia="仿宋"/>
          <w:bCs/>
          <w:spacing w:val="-4"/>
          <w:sz w:val="32"/>
          <w:szCs w:val="32"/>
        </w:rPr>
        <w:t>此经费主要支付安装的监控拼接屏费用。通过拼接屏的安装进一步增强</w:t>
      </w:r>
      <w:r>
        <w:rPr>
          <w:rFonts w:hint="eastAsia" w:ascii="仿宋" w:hAnsi="仿宋" w:eastAsia="仿宋"/>
          <w:bCs/>
          <w:spacing w:val="-4"/>
          <w:sz w:val="32"/>
          <w:szCs w:val="32"/>
          <w:lang w:eastAsia="zh-CN"/>
        </w:rPr>
        <w:t>维护</w:t>
      </w:r>
      <w:r>
        <w:rPr>
          <w:rFonts w:hint="eastAsia" w:ascii="仿宋" w:hAnsi="仿宋" w:eastAsia="仿宋"/>
          <w:bCs/>
          <w:spacing w:val="-4"/>
          <w:sz w:val="32"/>
          <w:szCs w:val="32"/>
        </w:rPr>
        <w:t>工作。</w:t>
      </w:r>
    </w:p>
    <w:p>
      <w:pPr>
        <w:adjustRightInd w:val="0"/>
        <w:snapToGrid w:val="0"/>
        <w:spacing w:line="560" w:lineRule="exact"/>
        <w:ind w:firstLine="640" w:firstLineChars="200"/>
        <w:rPr>
          <w:rStyle w:val="18"/>
          <w:b w:val="0"/>
          <w:bCs w:val="0"/>
        </w:rPr>
      </w:pPr>
      <w:r>
        <w:rPr>
          <w:rStyle w:val="18"/>
          <w:rFonts w:hint="eastAsia"/>
          <w:b w:val="0"/>
          <w:bCs w:val="0"/>
          <w:sz w:val="32"/>
          <w:szCs w:val="32"/>
        </w:rPr>
        <w:t>2、</w:t>
      </w:r>
      <w:bookmarkStart w:id="2" w:name="_Hlk532984683"/>
      <w:r>
        <w:rPr>
          <w:rStyle w:val="18"/>
          <w:rFonts w:hint="eastAsia" w:ascii="仿宋" w:hAnsi="仿宋" w:eastAsia="仿宋"/>
          <w:spacing w:val="-4"/>
          <w:sz w:val="32"/>
          <w:szCs w:val="32"/>
        </w:rPr>
        <w:t>部门基本支出</w:t>
      </w:r>
      <w:bookmarkEnd w:id="2"/>
      <w:r>
        <w:rPr>
          <w:rStyle w:val="18"/>
          <w:rFonts w:hint="eastAsia" w:ascii="仿宋" w:hAnsi="仿宋" w:eastAsia="仿宋"/>
          <w:spacing w:val="-4"/>
          <w:sz w:val="32"/>
          <w:szCs w:val="32"/>
        </w:rPr>
        <w:t>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支出性质为我局安装的监控拼接屏费用。</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3、部门基本支出主要用途、范围以及主要内容</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此经费主要支付我局安装的监控拼接屏费用。</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bookmarkStart w:id="3" w:name="_Hlk532982860"/>
      <w:r>
        <w:rPr>
          <w:rStyle w:val="18"/>
          <w:rFonts w:hint="eastAsia" w:ascii="黑体" w:hAnsi="黑体" w:eastAsia="黑体"/>
          <w:b w:val="0"/>
          <w:spacing w:val="-4"/>
          <w:sz w:val="32"/>
          <w:szCs w:val="32"/>
        </w:rPr>
        <w:t>部门基本支出</w:t>
      </w:r>
      <w:bookmarkEnd w:id="3"/>
      <w:r>
        <w:rPr>
          <w:rStyle w:val="18"/>
          <w:rFonts w:hint="eastAsia" w:ascii="黑体" w:hAnsi="黑体" w:eastAsia="黑体"/>
          <w:b w:val="0"/>
          <w:spacing w:val="-4"/>
          <w:sz w:val="32"/>
          <w:szCs w:val="32"/>
        </w:rPr>
        <w:t>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bookmarkStart w:id="4" w:name="_Hlk532983746"/>
      <w:r>
        <w:rPr>
          <w:rStyle w:val="18"/>
          <w:rFonts w:hint="eastAsia" w:ascii="楷体" w:hAnsi="楷体" w:eastAsia="楷体"/>
          <w:spacing w:val="-4"/>
          <w:sz w:val="32"/>
          <w:szCs w:val="32"/>
        </w:rPr>
        <w:t>部门基本支出</w:t>
      </w:r>
      <w:bookmarkEnd w:id="4"/>
      <w:r>
        <w:rPr>
          <w:rStyle w:val="18"/>
          <w:rFonts w:hint="eastAsia" w:ascii="楷体" w:hAnsi="楷体" w:eastAsia="楷体"/>
          <w:spacing w:val="-4"/>
          <w:sz w:val="32"/>
          <w:szCs w:val="32"/>
        </w:rPr>
        <w:t>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拼接屏经费为6.78万元，其中财政资金6.78万元， 2018年实际收到部门基本支出预算资金6.78万元。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w:t>
      </w:r>
      <w:bookmarkStart w:id="5" w:name="_Hlk532982869"/>
      <w:r>
        <w:rPr>
          <w:rStyle w:val="18"/>
          <w:rFonts w:hint="eastAsia" w:ascii="楷体" w:hAnsi="楷体" w:eastAsia="楷体"/>
          <w:spacing w:val="-4"/>
          <w:sz w:val="32"/>
          <w:szCs w:val="32"/>
        </w:rPr>
        <w:t>部门基本支出资金</w:t>
      </w:r>
      <w:bookmarkEnd w:id="5"/>
      <w:r>
        <w:rPr>
          <w:rStyle w:val="18"/>
          <w:rFonts w:hint="eastAsia" w:ascii="楷体" w:hAnsi="楷体" w:eastAsia="楷体"/>
          <w:spacing w:val="-4"/>
          <w:sz w:val="32"/>
          <w:szCs w:val="32"/>
        </w:rPr>
        <w:t>实际使用情况分析</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spacing w:val="-4"/>
          <w:sz w:val="32"/>
          <w:szCs w:val="32"/>
        </w:rPr>
        <w:t>拼接屏经费实际支付资金6.78万元，支付我局安装的监控拼接屏费用6.78万元</w:t>
      </w:r>
      <w:r>
        <w:rPr>
          <w:rFonts w:hint="eastAsia" w:ascii="仿宋" w:hAnsi="仿宋" w:eastAsia="仿宋" w:cs="仿宋"/>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w:t>
      </w:r>
      <w:bookmarkStart w:id="6" w:name="_Hlk532983186"/>
      <w:r>
        <w:rPr>
          <w:rStyle w:val="18"/>
          <w:rFonts w:hint="eastAsia" w:ascii="楷体" w:hAnsi="楷体" w:eastAsia="楷体"/>
          <w:spacing w:val="-4"/>
          <w:sz w:val="32"/>
          <w:szCs w:val="32"/>
        </w:rPr>
        <w:t>部门基本支出</w:t>
      </w:r>
      <w:bookmarkEnd w:id="6"/>
      <w:r>
        <w:rPr>
          <w:rStyle w:val="18"/>
          <w:rFonts w:hint="eastAsia" w:ascii="楷体" w:hAnsi="楷体" w:eastAsia="楷体"/>
          <w:spacing w:val="-4"/>
          <w:sz w:val="32"/>
          <w:szCs w:val="32"/>
        </w:rPr>
        <w:t>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分析内容包括：此项费用的支出符合《英吉沙县国土资源局财务管理制度及办法》；包括会计人员集中核算工作管理制度、财务收支审批制度、财务稽核制度、财务牵制制度、会计主管岗位职责等制度规定，基本支出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三、部门基本支出组织实施情况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（一）部门基本支出组织情况分析</w:t>
      </w:r>
    </w:p>
    <w:p>
      <w:pPr>
        <w:adjustRightInd w:val="0"/>
        <w:snapToGrid w:val="0"/>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为保证质量和成本控制，采购完成后，由我局工作人员于2017年6月10日完成检查验收，检查验收合格后按合同规定支付款项。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（二）部门基本支出管理情况分析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此项经费支付</w:t>
      </w:r>
      <w:r>
        <w:rPr>
          <w:rFonts w:hint="eastAsia" w:ascii="仿宋" w:hAnsi="仿宋" w:eastAsia="仿宋"/>
          <w:bCs/>
          <w:spacing w:val="-4"/>
          <w:sz w:val="32"/>
          <w:szCs w:val="32"/>
        </w:rPr>
        <w:t>过程中，根据《基本预算支出管理办法》，严格遵守相关法律法规和业务管理规定，支出资料齐全并及时归档。已建立《基本预算支出日常检查监督检查机制》，不定期对基本支出进度情况进行督导检查，对检查过程中发现的问题及时督促整改，确保</w:t>
      </w:r>
      <w:bookmarkStart w:id="7" w:name="_Hlk532984388"/>
      <w:r>
        <w:rPr>
          <w:rFonts w:hint="eastAsia" w:ascii="仿宋" w:hAnsi="仿宋" w:eastAsia="仿宋"/>
          <w:bCs/>
          <w:spacing w:val="-4"/>
          <w:sz w:val="32"/>
          <w:szCs w:val="32"/>
        </w:rPr>
        <w:t>基本支出</w:t>
      </w:r>
      <w:bookmarkEnd w:id="7"/>
      <w:r>
        <w:rPr>
          <w:rFonts w:hint="eastAsia" w:ascii="仿宋" w:hAnsi="仿宋" w:eastAsia="仿宋"/>
          <w:bCs/>
          <w:spacing w:val="-4"/>
          <w:sz w:val="32"/>
          <w:szCs w:val="32"/>
        </w:rPr>
        <w:t>有效、高质量的完成。</w:t>
      </w:r>
    </w:p>
    <w:p>
      <w:pPr>
        <w:adjustRightInd w:val="0"/>
        <w:snapToGrid w:val="0"/>
        <w:spacing w:line="560" w:lineRule="exact"/>
        <w:ind w:firstLine="624" w:firstLineChars="200"/>
        <w:outlineLvl w:val="0"/>
        <w:rPr>
          <w:rStyle w:val="18"/>
          <w:rFonts w:ascii="黑体" w:hAnsi="黑体" w:eastAsia="黑体"/>
          <w:sz w:val="32"/>
          <w:szCs w:val="32"/>
        </w:rPr>
      </w:pPr>
      <w:r>
        <w:rPr>
          <w:rStyle w:val="18"/>
          <w:rFonts w:hint="eastAsia" w:ascii="黑体" w:hAnsi="黑体" w:eastAsia="黑体"/>
          <w:b w:val="0"/>
          <w:spacing w:val="-4"/>
          <w:sz w:val="32"/>
          <w:szCs w:val="32"/>
        </w:rPr>
        <w:t>四、部门基本支出绩效情况</w:t>
      </w:r>
      <w:r>
        <w:rPr>
          <w:rStyle w:val="18"/>
          <w:rFonts w:hint="eastAsia" w:ascii="黑体" w:hAnsi="黑体" w:eastAsia="黑体"/>
          <w:sz w:val="32"/>
          <w:szCs w:val="32"/>
        </w:rPr>
        <w:t xml:space="preserve"> </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（一）部门基本支出绩效目标完成情况分析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1、项目完成情况：已完成</w:t>
      </w:r>
      <w:r>
        <w:rPr>
          <w:rFonts w:hint="eastAsia" w:ascii="仿宋" w:hAnsi="仿宋" w:eastAsia="仿宋"/>
          <w:bCs/>
          <w:spacing w:val="-4"/>
          <w:sz w:val="32"/>
          <w:szCs w:val="32"/>
        </w:rPr>
        <w:t>监控拼接屏的安装。</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2、项目效益情况：有效增强</w:t>
      </w:r>
      <w:r>
        <w:rPr>
          <w:rStyle w:val="18"/>
          <w:rFonts w:hint="eastAsia" w:ascii="仿宋" w:hAnsi="仿宋" w:eastAsia="仿宋"/>
          <w:b w:val="0"/>
          <w:spacing w:val="-4"/>
          <w:sz w:val="32"/>
          <w:szCs w:val="32"/>
          <w:lang w:eastAsia="zh-CN"/>
        </w:rPr>
        <w:t>维护</w:t>
      </w:r>
      <w:r>
        <w:rPr>
          <w:rStyle w:val="18"/>
          <w:rFonts w:hint="eastAsia" w:ascii="仿宋" w:hAnsi="仿宋" w:eastAsia="仿宋"/>
          <w:b w:val="0"/>
          <w:spacing w:val="-4"/>
          <w:sz w:val="32"/>
          <w:szCs w:val="32"/>
        </w:rPr>
        <w:t>工作。</w:t>
      </w:r>
    </w:p>
    <w:p>
      <w:pPr>
        <w:adjustRightInd w:val="0"/>
        <w:snapToGrid w:val="0"/>
        <w:spacing w:line="560" w:lineRule="exact"/>
        <w:ind w:firstLine="624" w:firstLineChars="200"/>
        <w:rPr>
          <w:rFonts w:ascii="仿宋" w:hAnsi="仿宋" w:eastAsia="仿宋"/>
          <w:bCs/>
          <w:spacing w:val="-4"/>
          <w:sz w:val="32"/>
          <w:szCs w:val="32"/>
        </w:rPr>
      </w:pPr>
      <w:r>
        <w:rPr>
          <w:rStyle w:val="18"/>
          <w:rFonts w:hint="eastAsia" w:ascii="仿宋" w:hAnsi="仿宋" w:eastAsia="仿宋"/>
          <w:b w:val="0"/>
          <w:spacing w:val="-4"/>
          <w:sz w:val="32"/>
          <w:szCs w:val="32"/>
        </w:rPr>
        <w:t>3、满意度情况：满意。</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（二）部门基本支出绩效目标未完成原因分析</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spacing w:val="-4"/>
          <w:sz w:val="32"/>
          <w:szCs w:val="32"/>
        </w:rPr>
        <w:t>不存在未完成情况。</w:t>
      </w:r>
    </w:p>
    <w:p>
      <w:pPr>
        <w:adjustRightInd w:val="0"/>
        <w:snapToGrid w:val="0"/>
        <w:spacing w:line="56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该项资金支付不存在问题。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六、基本支出评价工作情况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国土资源局土地出让案件诉讼费的使用效率和效果，基本支出管理过程规范，完成了预期绩效目标。同时，通过开展自我评价来总结经验和教训，为顺利持续实施英吉沙县基本支出的工作奠定基础。</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《部门预算基本支出绩效目标自评表》</w:t>
      </w: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7" w:firstLineChars="200"/>
        <w:rPr>
          <w:rStyle w:val="18"/>
          <w:rFonts w:ascii="仿宋" w:hAnsi="仿宋" w:eastAsia="仿宋"/>
          <w:spacing w:val="-4"/>
          <w:sz w:val="32"/>
          <w:szCs w:val="32"/>
        </w:rPr>
      </w:pPr>
    </w:p>
    <w:p>
      <w:pPr>
        <w:adjustRightInd w:val="0"/>
        <w:snapToGrid w:val="0"/>
        <w:spacing w:line="560" w:lineRule="exact"/>
        <w:ind w:firstLine="624" w:firstLineChars="200"/>
        <w:jc w:val="right"/>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英吉沙县国土资源局</w:t>
      </w:r>
    </w:p>
    <w:p>
      <w:pPr>
        <w:adjustRightInd w:val="0"/>
        <w:snapToGrid w:val="0"/>
        <w:spacing w:line="560" w:lineRule="exact"/>
        <w:ind w:firstLine="624" w:firstLineChars="200"/>
        <w:jc w:val="right"/>
        <w:rPr>
          <w:rStyle w:val="18"/>
          <w:rFonts w:ascii="仿宋" w:hAnsi="仿宋" w:eastAsia="仿宋"/>
          <w:b w:val="0"/>
          <w:spacing w:val="-4"/>
          <w:sz w:val="32"/>
          <w:szCs w:val="32"/>
        </w:rPr>
      </w:pPr>
      <w:r>
        <w:rPr>
          <w:rStyle w:val="18"/>
          <w:rFonts w:ascii="仿宋" w:hAnsi="仿宋" w:eastAsia="仿宋"/>
          <w:b w:val="0"/>
          <w:spacing w:val="-4"/>
          <w:sz w:val="32"/>
          <w:szCs w:val="32"/>
        </w:rPr>
        <w:t>2019年</w:t>
      </w:r>
      <w:r>
        <w:rPr>
          <w:rStyle w:val="18"/>
          <w:rFonts w:hint="eastAsia" w:ascii="仿宋" w:hAnsi="仿宋" w:eastAsia="仿宋"/>
          <w:b w:val="0"/>
          <w:spacing w:val="-4"/>
          <w:sz w:val="32"/>
          <w:szCs w:val="32"/>
        </w:rPr>
        <w:t>1</w:t>
      </w:r>
      <w:r>
        <w:rPr>
          <w:rStyle w:val="18"/>
          <w:rFonts w:ascii="仿宋" w:hAnsi="仿宋" w:eastAsia="仿宋"/>
          <w:b w:val="0"/>
          <w:spacing w:val="-4"/>
          <w:sz w:val="32"/>
          <w:szCs w:val="32"/>
        </w:rPr>
        <w:t>月</w:t>
      </w:r>
      <w:r>
        <w:rPr>
          <w:rStyle w:val="18"/>
          <w:rFonts w:hint="eastAsia" w:ascii="仿宋" w:hAnsi="仿宋" w:eastAsia="仿宋"/>
          <w:b w:val="0"/>
          <w:spacing w:val="-4"/>
          <w:sz w:val="32"/>
          <w:szCs w:val="32"/>
        </w:rPr>
        <w:t>31</w:t>
      </w:r>
      <w:r>
        <w:rPr>
          <w:rStyle w:val="18"/>
          <w:rFonts w:ascii="仿宋" w:hAnsi="仿宋" w:eastAsia="仿宋"/>
          <w:b w:val="0"/>
          <w:spacing w:val="-4"/>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134C"/>
    <w:rsid w:val="00073101"/>
    <w:rsid w:val="000D09F1"/>
    <w:rsid w:val="0012208E"/>
    <w:rsid w:val="00135256"/>
    <w:rsid w:val="0016428C"/>
    <w:rsid w:val="00170304"/>
    <w:rsid w:val="001A4E1F"/>
    <w:rsid w:val="001A57B9"/>
    <w:rsid w:val="001C3847"/>
    <w:rsid w:val="001F3031"/>
    <w:rsid w:val="00210A26"/>
    <w:rsid w:val="00273C06"/>
    <w:rsid w:val="002A2532"/>
    <w:rsid w:val="002D7B21"/>
    <w:rsid w:val="003273B2"/>
    <w:rsid w:val="00360974"/>
    <w:rsid w:val="00365250"/>
    <w:rsid w:val="0036624C"/>
    <w:rsid w:val="00385849"/>
    <w:rsid w:val="003D1504"/>
    <w:rsid w:val="00494A21"/>
    <w:rsid w:val="0050167F"/>
    <w:rsid w:val="00514506"/>
    <w:rsid w:val="005162F1"/>
    <w:rsid w:val="00535153"/>
    <w:rsid w:val="005654DA"/>
    <w:rsid w:val="00575CFE"/>
    <w:rsid w:val="00577B8E"/>
    <w:rsid w:val="00592D09"/>
    <w:rsid w:val="00650889"/>
    <w:rsid w:val="00675D58"/>
    <w:rsid w:val="006A112C"/>
    <w:rsid w:val="006E276E"/>
    <w:rsid w:val="006F2E6D"/>
    <w:rsid w:val="007067A6"/>
    <w:rsid w:val="007218B8"/>
    <w:rsid w:val="00785FDE"/>
    <w:rsid w:val="007A0351"/>
    <w:rsid w:val="007A14BC"/>
    <w:rsid w:val="007C1025"/>
    <w:rsid w:val="007E6845"/>
    <w:rsid w:val="007F5F8A"/>
    <w:rsid w:val="00826CA1"/>
    <w:rsid w:val="00835B7F"/>
    <w:rsid w:val="00855E3A"/>
    <w:rsid w:val="00890320"/>
    <w:rsid w:val="008C7436"/>
    <w:rsid w:val="00902391"/>
    <w:rsid w:val="00922CB9"/>
    <w:rsid w:val="009B526F"/>
    <w:rsid w:val="009C1AFD"/>
    <w:rsid w:val="00A25EB4"/>
    <w:rsid w:val="00A26421"/>
    <w:rsid w:val="00A36E25"/>
    <w:rsid w:val="00A4293B"/>
    <w:rsid w:val="00A83BD5"/>
    <w:rsid w:val="00A97E05"/>
    <w:rsid w:val="00B06CA5"/>
    <w:rsid w:val="00B1195E"/>
    <w:rsid w:val="00B41F61"/>
    <w:rsid w:val="00B55332"/>
    <w:rsid w:val="00B86E8C"/>
    <w:rsid w:val="00BE1A00"/>
    <w:rsid w:val="00BE2120"/>
    <w:rsid w:val="00BF704A"/>
    <w:rsid w:val="00C13BF9"/>
    <w:rsid w:val="00C22CF0"/>
    <w:rsid w:val="00C56C72"/>
    <w:rsid w:val="00CA6457"/>
    <w:rsid w:val="00CB51CA"/>
    <w:rsid w:val="00CC6E4D"/>
    <w:rsid w:val="00D17F2E"/>
    <w:rsid w:val="00D46194"/>
    <w:rsid w:val="00E01293"/>
    <w:rsid w:val="00E01764"/>
    <w:rsid w:val="00E769FE"/>
    <w:rsid w:val="00EA2CBE"/>
    <w:rsid w:val="00EB190B"/>
    <w:rsid w:val="00F00C89"/>
    <w:rsid w:val="00F32FEE"/>
    <w:rsid w:val="00F56F91"/>
    <w:rsid w:val="00F65949"/>
    <w:rsid w:val="49A96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38ACF-4F87-4821-B4CC-5C3833382582}">
  <ds:schemaRefs/>
</ds:datastoreItem>
</file>

<file path=docProps/app.xml><?xml version="1.0" encoding="utf-8"?>
<Properties xmlns="http://schemas.openxmlformats.org/officeDocument/2006/extended-properties" xmlns:vt="http://schemas.openxmlformats.org/officeDocument/2006/docPropsVTypes">
  <Template>Normal</Template>
  <Pages>3</Pages>
  <Words>195</Words>
  <Characters>1117</Characters>
  <Lines>9</Lines>
  <Paragraphs>2</Paragraphs>
  <TotalTime>94</TotalTime>
  <ScaleCrop>false</ScaleCrop>
  <LinksUpToDate>false</LinksUpToDate>
  <CharactersWithSpaces>1310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2018-12-19T04:47:00Z</dcterms:created>
  <dc:creator>赵 恺（预算处）</dc:creator>
  <cp:lastModifiedBy>Administrator</cp:lastModifiedBy>
  <cp:lastPrinted>2018-12-17T10:15:00Z</cp:lastPrinted>
  <dcterms:modified xsi:type="dcterms:W3CDTF">2019-09-11T11:23:28Z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